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8F023" w14:textId="4B0E4185" w:rsidR="006D4FB3" w:rsidRPr="00B40C93" w:rsidRDefault="00B40C93" w:rsidP="00D6113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93">
        <w:rPr>
          <w:rFonts w:ascii="Times New Roman" w:hAnsi="Times New Roman" w:cs="Times New Roman"/>
          <w:b/>
          <w:sz w:val="28"/>
          <w:szCs w:val="28"/>
        </w:rPr>
        <w:t>NGHỊ QUYẾT NHÀ TRƯỜNG</w:t>
      </w:r>
    </w:p>
    <w:p w14:paraId="5E513D77" w14:textId="77777777" w:rsidR="006115D5" w:rsidRDefault="006115D5" w:rsidP="00D6113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AFD465" w14:textId="77777777" w:rsidR="00B40C93" w:rsidRDefault="00B40C93" w:rsidP="00D6113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93">
        <w:rPr>
          <w:rFonts w:ascii="Times New Roman" w:hAnsi="Times New Roman" w:cs="Times New Roman"/>
          <w:b/>
          <w:sz w:val="28"/>
          <w:szCs w:val="28"/>
        </w:rPr>
        <w:t>HỌP</w:t>
      </w:r>
      <w:r w:rsidR="00F21E4F">
        <w:rPr>
          <w:rFonts w:ascii="Times New Roman" w:hAnsi="Times New Roman" w:cs="Times New Roman"/>
          <w:b/>
          <w:sz w:val="28"/>
          <w:szCs w:val="28"/>
        </w:rPr>
        <w:t xml:space="preserve"> HỘI ĐỒ</w:t>
      </w:r>
      <w:r w:rsidR="00AF11D8">
        <w:rPr>
          <w:rFonts w:ascii="Times New Roman" w:hAnsi="Times New Roman" w:cs="Times New Roman"/>
          <w:b/>
          <w:sz w:val="28"/>
          <w:szCs w:val="28"/>
        </w:rPr>
        <w:t xml:space="preserve">NG THÁNG </w:t>
      </w:r>
      <w:r w:rsidR="00701635">
        <w:rPr>
          <w:rFonts w:ascii="Times New Roman" w:hAnsi="Times New Roman" w:cs="Times New Roman"/>
          <w:b/>
          <w:sz w:val="28"/>
          <w:szCs w:val="28"/>
        </w:rPr>
        <w:t>4</w:t>
      </w:r>
    </w:p>
    <w:p w14:paraId="0D74228D" w14:textId="77777777" w:rsidR="006115D5" w:rsidRDefault="006115D5" w:rsidP="00D611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B5E3871" w14:textId="4ED42F0C" w:rsidR="00B40C93" w:rsidRDefault="00B40C93" w:rsidP="00D6113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0C93">
        <w:rPr>
          <w:rFonts w:ascii="Times New Roman" w:hAnsi="Times New Roman" w:cs="Times New Roman"/>
          <w:b/>
          <w:sz w:val="28"/>
          <w:szCs w:val="28"/>
        </w:rPr>
        <w:t xml:space="preserve">I. </w:t>
      </w:r>
      <w:proofErr w:type="spellStart"/>
      <w:r w:rsidRPr="00B40C93">
        <w:rPr>
          <w:rFonts w:ascii="Times New Roman" w:hAnsi="Times New Roman" w:cs="Times New Roman"/>
          <w:b/>
          <w:sz w:val="28"/>
          <w:szCs w:val="28"/>
        </w:rPr>
        <w:t>Thời</w:t>
      </w:r>
      <w:proofErr w:type="spellEnd"/>
      <w:r w:rsidRPr="00B40C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0C93">
        <w:rPr>
          <w:rFonts w:ascii="Times New Roman" w:hAnsi="Times New Roman" w:cs="Times New Roman"/>
          <w:b/>
          <w:sz w:val="28"/>
          <w:szCs w:val="28"/>
        </w:rPr>
        <w:t>gian</w:t>
      </w:r>
      <w:proofErr w:type="spellEnd"/>
      <w:r w:rsidRPr="00B40C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1E4F">
        <w:rPr>
          <w:rFonts w:ascii="Times New Roman" w:hAnsi="Times New Roman" w:cs="Times New Roman"/>
          <w:sz w:val="28"/>
          <w:szCs w:val="28"/>
        </w:rPr>
        <w:t xml:space="preserve">14 </w:t>
      </w:r>
      <w:proofErr w:type="spellStart"/>
      <w:r w:rsidR="00F21E4F">
        <w:rPr>
          <w:rFonts w:ascii="Times New Roman" w:hAnsi="Times New Roman" w:cs="Times New Roman"/>
          <w:sz w:val="28"/>
          <w:szCs w:val="28"/>
        </w:rPr>
        <w:t>giờ</w:t>
      </w:r>
      <w:proofErr w:type="spellEnd"/>
      <w:r w:rsidR="003B1874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3B1874">
        <w:rPr>
          <w:rFonts w:ascii="Times New Roman" w:hAnsi="Times New Roman" w:cs="Times New Roman"/>
          <w:sz w:val="28"/>
          <w:szCs w:val="28"/>
        </w:rPr>
        <w:t>phút</w:t>
      </w:r>
      <w:proofErr w:type="spellEnd"/>
      <w:r w:rsidR="003B18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1874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="003B1874">
        <w:rPr>
          <w:rFonts w:ascii="Times New Roman" w:hAnsi="Times New Roman" w:cs="Times New Roman"/>
          <w:sz w:val="28"/>
          <w:szCs w:val="28"/>
        </w:rPr>
        <w:t xml:space="preserve"> </w:t>
      </w:r>
      <w:r w:rsidR="00A0011D">
        <w:rPr>
          <w:rFonts w:ascii="Times New Roman" w:hAnsi="Times New Roman" w:cs="Times New Roman"/>
          <w:sz w:val="28"/>
          <w:szCs w:val="28"/>
        </w:rPr>
        <w:t>0</w:t>
      </w:r>
      <w:r w:rsidR="00E71E7B">
        <w:rPr>
          <w:rFonts w:ascii="Times New Roman" w:hAnsi="Times New Roman" w:cs="Times New Roman"/>
          <w:sz w:val="28"/>
          <w:szCs w:val="28"/>
        </w:rPr>
        <w:t>1</w:t>
      </w:r>
      <w:r w:rsidR="000329FB">
        <w:rPr>
          <w:rFonts w:ascii="Times New Roman" w:hAnsi="Times New Roman" w:cs="Times New Roman"/>
          <w:sz w:val="28"/>
          <w:szCs w:val="28"/>
        </w:rPr>
        <w:t>/</w:t>
      </w:r>
      <w:r w:rsidR="006C138B">
        <w:rPr>
          <w:rFonts w:ascii="Times New Roman" w:hAnsi="Times New Roman" w:cs="Times New Roman"/>
          <w:sz w:val="28"/>
          <w:szCs w:val="28"/>
        </w:rPr>
        <w:t>4</w:t>
      </w:r>
      <w:r w:rsidR="00A0011D">
        <w:rPr>
          <w:rFonts w:ascii="Times New Roman" w:hAnsi="Times New Roman" w:cs="Times New Roman"/>
          <w:sz w:val="28"/>
          <w:szCs w:val="28"/>
        </w:rPr>
        <w:t>/202</w:t>
      </w:r>
      <w:r w:rsidR="00E71E7B">
        <w:rPr>
          <w:rFonts w:ascii="Times New Roman" w:hAnsi="Times New Roman" w:cs="Times New Roman"/>
          <w:sz w:val="28"/>
          <w:szCs w:val="28"/>
        </w:rPr>
        <w:t>4</w:t>
      </w:r>
      <w:r w:rsidR="00F21E4F">
        <w:rPr>
          <w:rFonts w:ascii="Times New Roman" w:hAnsi="Times New Roman" w:cs="Times New Roman"/>
          <w:sz w:val="28"/>
          <w:szCs w:val="28"/>
        </w:rPr>
        <w:t>.</w:t>
      </w:r>
    </w:p>
    <w:p w14:paraId="28A809E3" w14:textId="77777777" w:rsidR="00B40C93" w:rsidRDefault="00B40C93" w:rsidP="00D6113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0C93"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Pr="00B40C93">
        <w:rPr>
          <w:rFonts w:ascii="Times New Roman" w:hAnsi="Times New Roman" w:cs="Times New Roman"/>
          <w:b/>
          <w:sz w:val="28"/>
          <w:szCs w:val="28"/>
        </w:rPr>
        <w:t>Địa</w:t>
      </w:r>
      <w:proofErr w:type="spellEnd"/>
      <w:r w:rsidRPr="00B40C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0C93"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 w:rsidRPr="00B40C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E4F">
        <w:rPr>
          <w:rFonts w:ascii="Times New Roman" w:hAnsi="Times New Roman" w:cs="Times New Roman"/>
          <w:sz w:val="28"/>
          <w:szCs w:val="28"/>
        </w:rPr>
        <w:t>Phòng</w:t>
      </w:r>
      <w:proofErr w:type="spellEnd"/>
      <w:r w:rsidR="00F21E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E4F">
        <w:rPr>
          <w:rFonts w:ascii="Times New Roman" w:hAnsi="Times New Roman" w:cs="Times New Roman"/>
          <w:sz w:val="28"/>
          <w:szCs w:val="28"/>
        </w:rPr>
        <w:t>hội</w:t>
      </w:r>
      <w:proofErr w:type="spellEnd"/>
      <w:r w:rsidR="00F21E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E4F"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 w:rsidR="00F21E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E4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="00F21E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E4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="00F21E4F">
        <w:rPr>
          <w:rFonts w:ascii="Times New Roman" w:hAnsi="Times New Roman" w:cs="Times New Roman"/>
          <w:sz w:val="28"/>
          <w:szCs w:val="28"/>
        </w:rPr>
        <w:t>.</w:t>
      </w:r>
    </w:p>
    <w:p w14:paraId="51902434" w14:textId="77777777" w:rsidR="00B40C93" w:rsidRDefault="00B40C93" w:rsidP="00D6113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0C93">
        <w:rPr>
          <w:rFonts w:ascii="Times New Roman" w:hAnsi="Times New Roman" w:cs="Times New Roman"/>
          <w:b/>
          <w:sz w:val="28"/>
          <w:szCs w:val="28"/>
        </w:rPr>
        <w:t xml:space="preserve">III. Thành </w:t>
      </w:r>
      <w:proofErr w:type="spellStart"/>
      <w:r w:rsidRPr="00B40C93">
        <w:rPr>
          <w:rFonts w:ascii="Times New Roman" w:hAnsi="Times New Roman" w:cs="Times New Roman"/>
          <w:b/>
          <w:sz w:val="28"/>
          <w:szCs w:val="28"/>
        </w:rPr>
        <w:t>phần</w:t>
      </w:r>
      <w:proofErr w:type="spellEnd"/>
      <w:r w:rsidRPr="00B40C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Cán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quản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giáo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viên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nhân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viên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trường</w:t>
      </w:r>
      <w:proofErr w:type="spellEnd"/>
    </w:p>
    <w:p w14:paraId="21C9B775" w14:textId="36EC7B7F" w:rsidR="00B40C93" w:rsidRDefault="00B40C93" w:rsidP="00D6113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Tổng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0011D">
        <w:rPr>
          <w:rFonts w:ascii="Times New Roman" w:hAnsi="Times New Roman" w:cs="Times New Roman"/>
          <w:sz w:val="28"/>
          <w:szCs w:val="28"/>
        </w:rPr>
        <w:t>4</w:t>
      </w:r>
      <w:r w:rsidR="00E71E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chí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cán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quản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giáo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viên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nhân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viên</w:t>
      </w:r>
      <w:proofErr w:type="spellEnd"/>
    </w:p>
    <w:p w14:paraId="528FD1CE" w14:textId="29EB380D" w:rsidR="00B40C93" w:rsidRDefault="00B40C93" w:rsidP="00D6113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Có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mặt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31FAF">
        <w:rPr>
          <w:rFonts w:ascii="Times New Roman" w:hAnsi="Times New Roman" w:cs="Times New Roman"/>
          <w:sz w:val="28"/>
          <w:szCs w:val="28"/>
        </w:rPr>
        <w:t>4</w:t>
      </w:r>
      <w:r w:rsidR="00E71E7B">
        <w:rPr>
          <w:rFonts w:ascii="Times New Roman" w:hAnsi="Times New Roman" w:cs="Times New Roman"/>
          <w:sz w:val="28"/>
          <w:szCs w:val="28"/>
        </w:rPr>
        <w:t>2</w:t>
      </w:r>
      <w:r w:rsidR="00571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chí</w:t>
      </w:r>
      <w:proofErr w:type="spellEnd"/>
    </w:p>
    <w:p w14:paraId="72709E8E" w14:textId="77777777" w:rsidR="00B40C93" w:rsidRDefault="00B40C93" w:rsidP="00D6113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Số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vắng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mặt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31FAF">
        <w:rPr>
          <w:rFonts w:ascii="Times New Roman" w:hAnsi="Times New Roman" w:cs="Times New Roman"/>
          <w:sz w:val="28"/>
          <w:szCs w:val="28"/>
        </w:rPr>
        <w:t>0</w:t>
      </w:r>
      <w:r w:rsidR="007E6B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Lí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do: </w:t>
      </w:r>
      <w:r w:rsidR="00571E14">
        <w:rPr>
          <w:rFonts w:ascii="Times New Roman" w:hAnsi="Times New Roman" w:cs="Times New Roman"/>
          <w:sz w:val="28"/>
          <w:szCs w:val="28"/>
        </w:rPr>
        <w:t xml:space="preserve">Đ/c </w:t>
      </w:r>
      <w:proofErr w:type="spellStart"/>
      <w:r w:rsidR="00571E14">
        <w:rPr>
          <w:rFonts w:ascii="Times New Roman" w:hAnsi="Times New Roman" w:cs="Times New Roman"/>
          <w:sz w:val="28"/>
          <w:szCs w:val="28"/>
        </w:rPr>
        <w:t>Hiệp</w:t>
      </w:r>
      <w:proofErr w:type="spellEnd"/>
      <w:r w:rsidR="00571E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1E14">
        <w:rPr>
          <w:rFonts w:ascii="Times New Roman" w:hAnsi="Times New Roman" w:cs="Times New Roman"/>
          <w:sz w:val="28"/>
          <w:szCs w:val="28"/>
        </w:rPr>
        <w:t>Điểm</w:t>
      </w:r>
      <w:proofErr w:type="spellEnd"/>
      <w:r w:rsidR="00571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E14">
        <w:rPr>
          <w:rFonts w:ascii="Times New Roman" w:hAnsi="Times New Roman" w:cs="Times New Roman"/>
          <w:sz w:val="28"/>
          <w:szCs w:val="28"/>
        </w:rPr>
        <w:t>tăng</w:t>
      </w:r>
      <w:proofErr w:type="spellEnd"/>
      <w:r w:rsidR="00571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E14">
        <w:rPr>
          <w:rFonts w:ascii="Times New Roman" w:hAnsi="Times New Roman" w:cs="Times New Roman"/>
          <w:sz w:val="28"/>
          <w:szCs w:val="28"/>
        </w:rPr>
        <w:t>cường</w:t>
      </w:r>
      <w:proofErr w:type="spellEnd"/>
      <w:r w:rsidR="00571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E14">
        <w:rPr>
          <w:rFonts w:ascii="Times New Roman" w:hAnsi="Times New Roman" w:cs="Times New Roman"/>
          <w:sz w:val="28"/>
          <w:szCs w:val="28"/>
        </w:rPr>
        <w:t>lên</w:t>
      </w:r>
      <w:proofErr w:type="spellEnd"/>
      <w:r w:rsidR="00571E14">
        <w:rPr>
          <w:rFonts w:ascii="Times New Roman" w:hAnsi="Times New Roman" w:cs="Times New Roman"/>
          <w:sz w:val="28"/>
          <w:szCs w:val="28"/>
        </w:rPr>
        <w:t xml:space="preserve"> PGD</w:t>
      </w:r>
      <w:r w:rsidR="007E6B80">
        <w:rPr>
          <w:rFonts w:ascii="Times New Roman" w:hAnsi="Times New Roman" w:cs="Times New Roman"/>
          <w:sz w:val="28"/>
          <w:szCs w:val="28"/>
        </w:rPr>
        <w:t>.</w:t>
      </w:r>
    </w:p>
    <w:p w14:paraId="657F9BCE" w14:textId="77777777" w:rsidR="00B40C93" w:rsidRDefault="00B40C93" w:rsidP="00D61134">
      <w:pPr>
        <w:spacing w:after="0" w:line="360" w:lineRule="exact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40C93">
        <w:rPr>
          <w:rFonts w:ascii="Times New Roman" w:hAnsi="Times New Roman" w:cs="Times New Roman"/>
          <w:sz w:val="28"/>
          <w:szCs w:val="28"/>
        </w:rPr>
        <w:t>Chủ</w:t>
      </w:r>
      <w:proofErr w:type="spellEnd"/>
      <w:r w:rsidRPr="00B40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C93">
        <w:rPr>
          <w:rFonts w:ascii="Times New Roman" w:hAnsi="Times New Roman" w:cs="Times New Roman"/>
          <w:sz w:val="28"/>
          <w:szCs w:val="28"/>
        </w:rPr>
        <w:t>toạ</w:t>
      </w:r>
      <w:proofErr w:type="spellEnd"/>
      <w:r w:rsidRPr="00B40C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Ông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Hồ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Công Nam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Bí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Chi </w:t>
      </w:r>
      <w:proofErr w:type="spellStart"/>
      <w:r>
        <w:rPr>
          <w:rFonts w:ascii="Times New Roman" w:hAnsi="Times New Roman" w:cs="Times New Roman"/>
          <w:sz w:val="28"/>
          <w:szCs w:val="28"/>
        </w:rPr>
        <w:t>bộ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Hiệu </w:t>
      </w:r>
      <w:proofErr w:type="spellStart"/>
      <w:r>
        <w:rPr>
          <w:rFonts w:ascii="Times New Roman" w:hAnsi="Times New Roman" w:cs="Times New Roman"/>
          <w:sz w:val="28"/>
          <w:szCs w:val="28"/>
        </w:rPr>
        <w:t>trưởng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trường</w:t>
      </w:r>
      <w:proofErr w:type="spellEnd"/>
    </w:p>
    <w:p w14:paraId="6B890F2A" w14:textId="77777777" w:rsidR="00B40C93" w:rsidRDefault="00B40C93" w:rsidP="00D61134">
      <w:pPr>
        <w:spacing w:after="0" w:line="360" w:lineRule="exact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Thư </w:t>
      </w:r>
      <w:proofErr w:type="spellStart"/>
      <w:r>
        <w:rPr>
          <w:rFonts w:ascii="Times New Roman" w:hAnsi="Times New Roman" w:cs="Times New Roman"/>
          <w:sz w:val="28"/>
          <w:szCs w:val="28"/>
        </w:rPr>
        <w:t>ký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Bà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Đinh Thị Hiếu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Giáo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viên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417BC97" w14:textId="77777777" w:rsidR="00B40C93" w:rsidRDefault="00B40C93" w:rsidP="00D61134">
      <w:pPr>
        <w:spacing w:after="0" w:line="360" w:lineRule="exact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B40C93">
        <w:rPr>
          <w:rFonts w:ascii="Times New Roman" w:hAnsi="Times New Roman" w:cs="Times New Roman"/>
          <w:b/>
          <w:sz w:val="28"/>
          <w:szCs w:val="28"/>
        </w:rPr>
        <w:t xml:space="preserve">IV. </w:t>
      </w:r>
      <w:proofErr w:type="spellStart"/>
      <w:r w:rsidRPr="00B40C93">
        <w:rPr>
          <w:rFonts w:ascii="Times New Roman" w:hAnsi="Times New Roman" w:cs="Times New Roman"/>
          <w:b/>
          <w:sz w:val="28"/>
          <w:szCs w:val="28"/>
        </w:rPr>
        <w:t>Nội</w:t>
      </w:r>
      <w:proofErr w:type="spellEnd"/>
      <w:r w:rsidRPr="00B40C93">
        <w:rPr>
          <w:rFonts w:ascii="Times New Roman" w:hAnsi="Times New Roman" w:cs="Times New Roman"/>
          <w:b/>
          <w:sz w:val="28"/>
          <w:szCs w:val="28"/>
        </w:rPr>
        <w:t xml:space="preserve"> dung </w:t>
      </w:r>
      <w:proofErr w:type="spellStart"/>
      <w:r w:rsidRPr="00B40C93">
        <w:rPr>
          <w:rFonts w:ascii="Times New Roman" w:hAnsi="Times New Roman" w:cs="Times New Roman"/>
          <w:b/>
          <w:sz w:val="28"/>
          <w:szCs w:val="28"/>
        </w:rPr>
        <w:t>cuộc</w:t>
      </w:r>
      <w:proofErr w:type="spellEnd"/>
      <w:r w:rsidRPr="00B40C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0C93">
        <w:rPr>
          <w:rFonts w:ascii="Times New Roman" w:hAnsi="Times New Roman" w:cs="Times New Roman"/>
          <w:b/>
          <w:sz w:val="28"/>
          <w:szCs w:val="28"/>
        </w:rPr>
        <w:t>họp</w:t>
      </w:r>
      <w:proofErr w:type="spellEnd"/>
    </w:p>
    <w:p w14:paraId="1DAAA9ED" w14:textId="77777777" w:rsidR="002F3CE5" w:rsidRDefault="002F3CE5" w:rsidP="00D61134">
      <w:pPr>
        <w:spacing w:after="0" w:line="360" w:lineRule="exact"/>
        <w:ind w:firstLine="7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>Đánh</w:t>
      </w:r>
      <w:proofErr w:type="spellEnd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>giá</w:t>
      </w:r>
      <w:proofErr w:type="spellEnd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>công</w:t>
      </w:r>
      <w:proofErr w:type="spellEnd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>tác</w:t>
      </w:r>
      <w:proofErr w:type="spellEnd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>tháng</w:t>
      </w:r>
      <w:proofErr w:type="spellEnd"/>
      <w:r w:rsidR="00F25E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33C8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14:paraId="128F2CC5" w14:textId="640DCC56" w:rsidR="00312DF9" w:rsidRPr="00312DF9" w:rsidRDefault="00155CA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chủ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nhiệm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lớp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9B541EF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*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Ưu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59AF226C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GVCN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đặc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biệt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sĩ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luôn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ra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phụ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huynh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nắm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bắt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EC876B5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Tỷ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96,4%.  </w:t>
      </w:r>
    </w:p>
    <w:p w14:paraId="5B7EBFB1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*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Hạn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chế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288CBD26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Tỷ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7B1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91,1% </w:t>
      </w:r>
    </w:p>
    <w:p w14:paraId="3A411819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7B1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01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8C2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01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nghỉ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nhiều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GVCN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những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quay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trở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do: 02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đều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làm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Lò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Thị Tuyết –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7B1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Lò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Văn Duy –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8C2)  </w:t>
      </w:r>
    </w:p>
    <w:p w14:paraId="6E4640E2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Tỷ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từng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cụ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thể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như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sau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312DF9" w:rsidRPr="00312DF9" w14:paraId="099578E4" w14:textId="77777777" w:rsidTr="00E11E5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1B16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Lớp</w:t>
            </w:r>
            <w:proofErr w:type="spellEnd"/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CD92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6A1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24D1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6A2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74A68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6A3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4195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7B1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EE1C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7B2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811E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8C1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004F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8C2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E18C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8C3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5B4E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9D1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6F96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9D2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CCCB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9D3</w:t>
            </w:r>
          </w:p>
        </w:tc>
      </w:tr>
      <w:tr w:rsidR="00312DF9" w:rsidRPr="00312DF9" w14:paraId="675DD808" w14:textId="77777777" w:rsidTr="00E11E5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B80F2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lệ</w:t>
            </w:r>
            <w:proofErr w:type="spellEnd"/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8DA4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97,3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C297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97,3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F7EB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BCC6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91,1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DFEE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97,6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8BCC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96,7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DEE3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96,6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72C5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D445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39B4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97,9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71AD" w14:textId="77777777" w:rsidR="00312DF9" w:rsidRPr="00312DF9" w:rsidRDefault="00312DF9" w:rsidP="00D6113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DF9">
              <w:rPr>
                <w:rFonts w:ascii="Times New Roman" w:eastAsia="Times New Roman" w:hAnsi="Times New Roman" w:cs="Times New Roman"/>
                <w:sz w:val="28"/>
                <w:szCs w:val="28"/>
              </w:rPr>
              <w:t>96,4</w:t>
            </w:r>
          </w:p>
        </w:tc>
      </w:tr>
    </w:tbl>
    <w:p w14:paraId="1635911C" w14:textId="3BB74076" w:rsidR="00312DF9" w:rsidRPr="00312DF9" w:rsidRDefault="00155CA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vi-V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b</w:t>
      </w:r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12DF9"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Công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chuyên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môn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00CAFB9" w14:textId="77777777" w:rsidR="00312DF9" w:rsidRPr="00312DF9" w:rsidRDefault="00312DF9" w:rsidP="00D61134">
      <w:pPr>
        <w:spacing w:after="0" w:line="360" w:lineRule="exact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*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Ưu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21BE09CD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Triển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nhân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thống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kê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liệu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chính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8ABCCA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proofErr w:type="gramStart"/>
      <w:r w:rsidRPr="00312DF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proofErr w:type="gram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tương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đối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nền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nếp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duyệt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ĐDDH,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tối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ĐDDH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đối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từng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UDCNTT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lạm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CNTT.</w:t>
      </w:r>
    </w:p>
    <w:p w14:paraId="6F795783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chương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30/3/2024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chương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thứ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27;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PPCT,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triển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năng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lấy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làm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trung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người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cứu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dung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D1F3D65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đón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tuyển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Trí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tuệ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THCS Thị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Trấn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07/4/2024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chọn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giỏi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huyện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hóa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8 </w:t>
      </w:r>
      <w:proofErr w:type="gramStart"/>
      <w:r w:rsidRPr="00312DF9">
        <w:rPr>
          <w:rFonts w:ascii="Times New Roman" w:eastAsia="Times New Roman" w:hAnsi="Times New Roman" w:cs="Times New Roman"/>
          <w:sz w:val="28"/>
          <w:szCs w:val="28"/>
        </w:rPr>
        <w:t>an</w:t>
      </w:r>
      <w:proofErr w:type="gram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cuộc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Trí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tuệ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Nhì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loại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chọn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06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KK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thuộc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Ngữ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03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; GDCD 01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01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01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830875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cuối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I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nộp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GD&amp;ĐT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7E85643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  <w:t xml:space="preserve">- 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thao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thao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12DF9">
        <w:rPr>
          <w:rFonts w:ascii="Times New Roman" w:eastAsia="Times New Roman" w:hAnsi="Times New Roman" w:cs="Times New Roman"/>
          <w:sz w:val="28"/>
          <w:szCs w:val="28"/>
        </w:rPr>
        <w:t>II  (</w:t>
      </w:r>
      <w:proofErr w:type="spellStart"/>
      <w:proofErr w:type="gramEnd"/>
      <w:r w:rsidRPr="00312DF9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24, 25). Tiến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dự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rút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nghiệm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trung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mỗi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12DF9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741EF13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02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Từ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13/3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15/3).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xếp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loại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02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Gv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77DA895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10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TKB.</w:t>
      </w:r>
    </w:p>
    <w:p w14:paraId="6AB93F8E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coi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giữa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II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12DF9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FC82C36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*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Hạn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chế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1D54F69A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Chưa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F852365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</w:pP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cập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nhật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vào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sổ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dõi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đánh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giá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chậm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tiến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độ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như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12DF9"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  <w:t>Toán, Công nghệ 9; Toán 7; Toán, KHTN, Công nghệ 8.</w:t>
      </w:r>
    </w:p>
    <w:p w14:paraId="11ABD567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tiết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chưa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ghi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ký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sổ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ghi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đầu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bài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sau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tiết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14:paraId="08267FA0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</w:pP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Tuần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25: </w:t>
      </w:r>
      <w:r w:rsidRPr="00312DF9"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  <w:t>GDĐP 8; Tin 6A1; Nhạc 6A2</w:t>
      </w:r>
    </w:p>
    <w:p w14:paraId="47FAE13C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</w:pP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Tuần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26: </w:t>
      </w:r>
      <w:r w:rsidRPr="00312DF9"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  <w:t xml:space="preserve">GDTC 7B2; KHTN 6; GDĐP 6A2 </w:t>
      </w:r>
      <w:proofErr w:type="spellStart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>Tuần</w:t>
      </w:r>
      <w:proofErr w:type="spellEnd"/>
      <w:r w:rsidRPr="00312DF9">
        <w:rPr>
          <w:rFonts w:ascii="Times New Roman" w:eastAsia="Times New Roman" w:hAnsi="Times New Roman" w:cs="Times New Roman"/>
          <w:bCs/>
          <w:sz w:val="28"/>
          <w:szCs w:val="28"/>
        </w:rPr>
        <w:t xml:space="preserve"> 27: </w:t>
      </w:r>
      <w:r w:rsidRPr="00312DF9"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  <w:t>Văn 8C1; Toán, HĐTN 8C3; GDTC, HĐTN 7B2; GDTC, Nghệ thuật 7B1; KHTN 6A3...</w:t>
      </w:r>
    </w:p>
    <w:p w14:paraId="7E9F98E7" w14:textId="681B2422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</w:r>
      <w:r w:rsidR="00155CA4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thư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viện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thiết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bị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BB9DB84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quyét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dọn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lau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chùi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TB, ĐDDH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luôn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sắp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xếp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khoa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272BB3" w14:textId="3FA46C20" w:rsidR="00312DF9" w:rsidRPr="00312DF9" w:rsidRDefault="00155CA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d</w:t>
      </w:r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khác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DC43636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*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Ưu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4B609AB2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Các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chú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trọng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sóc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bồn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cây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cảnh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541B79C7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Các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đều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đặn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1B9C56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*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Hạn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chế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7496F4C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Công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ở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chưa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muộn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73FB192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chưa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nhiệt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thể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8BE44A" w14:textId="3F270EF4" w:rsidR="00312DF9" w:rsidRPr="00312DF9" w:rsidRDefault="00155CA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Kế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hoạch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tháng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4.</w:t>
      </w:r>
    </w:p>
    <w:p w14:paraId="5EC1B1D7" w14:textId="2F9DB70C" w:rsidR="00312DF9" w:rsidRPr="00312DF9" w:rsidRDefault="00155CA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chủ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nhiệm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lớp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7D05F78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GVCN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đặc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biệt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sĩ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mặt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15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phút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đầu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nắm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bắt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từng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buổi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Báo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sĩ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trung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Quan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EB5AAF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dõi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tay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GVCN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hàng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liệu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302A81E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12DF9">
        <w:rPr>
          <w:rFonts w:ascii="Times New Roman" w:eastAsia="Times New Roman" w:hAnsi="Times New Roman" w:cs="Times New Roman"/>
          <w:sz w:val="28"/>
          <w:szCs w:val="28"/>
        </w:rPr>
        <w:t>HĐTN,  HĐGDNGLL</w:t>
      </w:r>
      <w:proofErr w:type="gram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F857BF" w14:textId="73B06499" w:rsidR="00312DF9" w:rsidRPr="00312DF9" w:rsidRDefault="00155CA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b</w:t>
      </w:r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. Chuyên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môn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D4B13DA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Triển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4456763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Tham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huấn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STEM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Elearning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thành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(02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trưởng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Tin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59C2EF7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Tham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THCS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844/SGDĐT-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GDTrH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01/4/2024.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14h00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08/4/2024.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đồng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Thành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BGH,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tuyến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C25FB8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Làm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cùng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nhận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quốc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Sở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ngoài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09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10/4/2024.</w:t>
      </w:r>
    </w:p>
    <w:p w14:paraId="62DEF334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12/4/2024;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PTDTBT TH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Luân; Thành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BGH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Lê Quang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Đưởng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Lò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Thị Điện)</w:t>
      </w:r>
    </w:p>
    <w:p w14:paraId="1E24F82C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Duy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nền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nếp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soạn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bám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xây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dựng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ĐDDH,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tối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ĐDDH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Chú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ý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sở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vật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516124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trưởng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tăng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TB, ĐDDH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cùng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BGH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dự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rút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nghiệm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085B8C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10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ACEFE9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lastRenderedPageBreak/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bù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dõi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chính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chữa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Tiến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nhật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mềm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7CA69F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Đẩy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thống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trọng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HK II;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điều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cuối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II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cao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(GV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chính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khóa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câu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hỏi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tự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xây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dựng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cương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hoặc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910E7AC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9,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khắc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sai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sót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sau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8947704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xếp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loại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4. </w:t>
      </w:r>
    </w:p>
    <w:p w14:paraId="22A6C3E0" w14:textId="77DB0C36" w:rsidR="00312DF9" w:rsidRPr="00312DF9" w:rsidRDefault="00155CA4" w:rsidP="00D61134">
      <w:pPr>
        <w:spacing w:after="0" w:line="360" w:lineRule="exact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thiết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bị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thư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viện</w:t>
      </w:r>
      <w:proofErr w:type="spellEnd"/>
      <w:r w:rsidR="00312DF9"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2B51FAB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Quản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mượn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 (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phiếu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mượn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mượn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98CE546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  <w:t xml:space="preserve">Thường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lau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chùi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ghế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kệ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vật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TB, ĐD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Sắp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xếp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khoa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44758A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  <w:t xml:space="preserve">Thường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TB, ĐDDH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BGH,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sự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nếu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65DF111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lịch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hai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thành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cầu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F61362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7527A42" w14:textId="77777777" w:rsidR="00312DF9" w:rsidRPr="00312DF9" w:rsidRDefault="00312DF9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Đoàn –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xây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dựng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hưởng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ứng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Văn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hóa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Việt Nam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thứ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2024. Báo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Văn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hóa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Việt Nam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Đào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qua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phươngthcs6279@gmail.com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25/4/2024.  </w:t>
      </w:r>
    </w:p>
    <w:p w14:paraId="4228FFC8" w14:textId="5968B900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55CA4">
        <w:rPr>
          <w:rFonts w:ascii="Times New Roman" w:eastAsia="Times New Roman" w:hAnsi="Times New Roman" w:cs="Times New Roman"/>
          <w:b/>
          <w:sz w:val="28"/>
          <w:szCs w:val="28"/>
        </w:rPr>
        <w:t>d</w:t>
      </w: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 xml:space="preserve"> Đoàn – </w:t>
      </w:r>
      <w:proofErr w:type="spellStart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Đội</w:t>
      </w:r>
      <w:proofErr w:type="spellEnd"/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9E97246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4/2024: “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Mừng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non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thống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”.</w:t>
      </w:r>
    </w:p>
    <w:p w14:paraId="4BD1C05F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mừng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kỷ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niệm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49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phóng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miền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Nam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thống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nước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CDC74A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Đẩy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“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Em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yêu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lịch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Việt Nam”,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cuộc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tìm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hiểu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truyền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thống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lịch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quê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hương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nước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63465D" w14:textId="77777777" w:rsidR="00312DF9" w:rsidRPr="00312DF9" w:rsidRDefault="00312DF9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DF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truyền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tai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nạn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thương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đuối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nước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chống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cháy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100%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thể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GVCN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truyền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HĐTN, HN. </w:t>
      </w:r>
    </w:p>
    <w:p w14:paraId="1A99A360" w14:textId="77777777" w:rsidR="00EB5988" w:rsidRDefault="00EB5988" w:rsidP="00D61134">
      <w:pPr>
        <w:tabs>
          <w:tab w:val="left" w:pos="709"/>
          <w:tab w:val="left" w:leader="dot" w:pos="9072"/>
        </w:tabs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1D67A7" w14:textId="77777777" w:rsidR="00E77154" w:rsidRPr="00E77154" w:rsidRDefault="00E77154" w:rsidP="00D61134">
      <w:pPr>
        <w:spacing w:after="0" w:line="360" w:lineRule="exact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E77154">
        <w:rPr>
          <w:rFonts w:ascii="Times New Roman" w:hAnsi="Times New Roman" w:cs="Times New Roman"/>
          <w:b/>
          <w:sz w:val="28"/>
          <w:szCs w:val="28"/>
        </w:rPr>
        <w:t xml:space="preserve">* </w:t>
      </w:r>
      <w:proofErr w:type="spellStart"/>
      <w:r w:rsidRPr="00E77154">
        <w:rPr>
          <w:rFonts w:ascii="Times New Roman" w:hAnsi="Times New Roman" w:cs="Times New Roman"/>
          <w:b/>
          <w:sz w:val="28"/>
          <w:szCs w:val="28"/>
        </w:rPr>
        <w:t>Kết</w:t>
      </w:r>
      <w:proofErr w:type="spellEnd"/>
      <w:r w:rsidRPr="00E771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b/>
          <w:sz w:val="28"/>
          <w:szCs w:val="28"/>
        </w:rPr>
        <w:t>luận</w:t>
      </w:r>
      <w:proofErr w:type="spellEnd"/>
      <w:r w:rsidRPr="00E771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b/>
          <w:sz w:val="28"/>
          <w:szCs w:val="28"/>
        </w:rPr>
        <w:t>của</w:t>
      </w:r>
      <w:proofErr w:type="spellEnd"/>
      <w:r w:rsidRPr="00E771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b/>
          <w:sz w:val="28"/>
          <w:szCs w:val="28"/>
        </w:rPr>
        <w:t>chủ</w:t>
      </w:r>
      <w:proofErr w:type="spellEnd"/>
      <w:r w:rsidRPr="00E771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b/>
          <w:sz w:val="28"/>
          <w:szCs w:val="28"/>
        </w:rPr>
        <w:t>trì</w:t>
      </w:r>
      <w:proofErr w:type="spellEnd"/>
      <w:r w:rsidRPr="00E771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b/>
          <w:sz w:val="28"/>
          <w:szCs w:val="28"/>
        </w:rPr>
        <w:t>cuộc</w:t>
      </w:r>
      <w:proofErr w:type="spellEnd"/>
      <w:r w:rsidRPr="00E771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b/>
          <w:sz w:val="28"/>
          <w:szCs w:val="28"/>
        </w:rPr>
        <w:t>họp</w:t>
      </w:r>
      <w:proofErr w:type="spellEnd"/>
    </w:p>
    <w:p w14:paraId="6A1E39F9" w14:textId="77777777" w:rsidR="00EB5988" w:rsidRPr="008D611C" w:rsidRDefault="00EB5988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>
        <w:rPr>
          <w:rFonts w:ascii="Times New Roman" w:eastAsia="Times New Roman" w:hAnsi="Times New Roman" w:cs="Times New Roman"/>
          <w:sz w:val="28"/>
          <w:szCs w:val="28"/>
          <w:lang w:val="sv-SE"/>
        </w:rPr>
        <w:lastRenderedPageBreak/>
        <w:t>- CBQL, GV, NV c</w:t>
      </w:r>
      <w:r w:rsidRPr="008D611C">
        <w:rPr>
          <w:rFonts w:ascii="Times New Roman" w:eastAsia="Times New Roman" w:hAnsi="Times New Roman" w:cs="Times New Roman"/>
          <w:sz w:val="28"/>
          <w:szCs w:val="28"/>
          <w:lang w:val="sv-SE"/>
        </w:rPr>
        <w:t>ó tư tưởng lập trường chính trị vững vàng, yên tâm công tác, hoàn thành các công việc được giao.</w:t>
      </w:r>
    </w:p>
    <w:p w14:paraId="24A2EA2A" w14:textId="77777777" w:rsidR="00EB5988" w:rsidRPr="00076F83" w:rsidRDefault="00EB5988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11C">
        <w:rPr>
          <w:rFonts w:ascii="Times New Roman" w:eastAsia="Times New Roman" w:hAnsi="Times New Roman" w:cs="Times New Roman"/>
          <w:sz w:val="28"/>
          <w:szCs w:val="28"/>
          <w:lang w:val="sv-SE"/>
        </w:rPr>
        <w:tab/>
      </w:r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Ổn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duy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sĩ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tỷ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lệ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đi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cần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FE0588" w14:textId="77777777" w:rsidR="00EB5988" w:rsidRDefault="00EB5988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6F83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076F8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8AB89E" w14:textId="65D7B758" w:rsidR="00D61134" w:rsidRPr="00312DF9" w:rsidRDefault="00D6113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Triển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D974F7" w14:textId="146AB41D" w:rsidR="00D61134" w:rsidRPr="00312DF9" w:rsidRDefault="00D6113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Tham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huấn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STEM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Elearning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thành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(02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trưởng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Tin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2691354" w14:textId="132AAF55" w:rsidR="00D61134" w:rsidRPr="00312DF9" w:rsidRDefault="00D6113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Tham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THCS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844/SGDĐT-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GDTrH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01/4/2024.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nghị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14h00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08/4/2024.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đồng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Thành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BGH,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Hình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tuyến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417510F" w14:textId="5D6BEC2C" w:rsidR="00D61134" w:rsidRPr="00312DF9" w:rsidRDefault="00D6113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Làm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cùng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đoàn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nhận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quốc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Sở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Đánh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ngoài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09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10/4/2024.</w:t>
      </w:r>
    </w:p>
    <w:p w14:paraId="1D8D9A99" w14:textId="7372D5DA" w:rsidR="00D61134" w:rsidRPr="00312DF9" w:rsidRDefault="00D61134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12/4/2024;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PTDTBT TH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Mường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Luân; Thành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Đại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diện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BGH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Lê Quang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Đưởng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12DF9">
        <w:rPr>
          <w:rFonts w:ascii="Times New Roman" w:eastAsia="Times New Roman" w:hAnsi="Times New Roman" w:cs="Times New Roman"/>
          <w:sz w:val="28"/>
          <w:szCs w:val="28"/>
        </w:rPr>
        <w:t>Lò</w:t>
      </w:r>
      <w:proofErr w:type="spellEnd"/>
      <w:r w:rsidRPr="00312DF9">
        <w:rPr>
          <w:rFonts w:ascii="Times New Roman" w:eastAsia="Times New Roman" w:hAnsi="Times New Roman" w:cs="Times New Roman"/>
          <w:sz w:val="28"/>
          <w:szCs w:val="28"/>
        </w:rPr>
        <w:t xml:space="preserve"> Thị Điện)</w:t>
      </w:r>
    </w:p>
    <w:p w14:paraId="7415FB91" w14:textId="77777777" w:rsidR="00F01727" w:rsidRPr="00400CED" w:rsidRDefault="00F01727" w:rsidP="00D61134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CE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tuyên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truyền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tránh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tai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nạn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thương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đuối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nước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chống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cháy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nổ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100%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dưới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cờ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đầu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. GVCN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tuyên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truyền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cuối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0CED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400C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A60D414" w14:textId="77777777" w:rsidR="009802FF" w:rsidRPr="009B43CB" w:rsidRDefault="009802FF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Đoàn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đội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</w:t>
      </w:r>
      <w:r w:rsidRPr="009B43C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Đổi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mới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hoạt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động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đoàn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đội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như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dạy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múa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dân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vũ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các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hoạt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động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mới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mẻ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vừa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sức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vui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tươi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không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gây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nhàm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chán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cho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học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sinh</w:t>
      </w:r>
      <w:proofErr w:type="spellEnd"/>
      <w:r w:rsidRPr="009B43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14:paraId="3FB4B40B" w14:textId="77777777" w:rsidR="005D04F0" w:rsidRPr="00041570" w:rsidRDefault="005D04F0" w:rsidP="00D61134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570">
        <w:rPr>
          <w:rFonts w:ascii="Times New Roman" w:eastAsia="Times New Roman" w:hAnsi="Times New Roman" w:cs="Times New Roman"/>
          <w:sz w:val="28"/>
          <w:szCs w:val="28"/>
        </w:rPr>
        <w:t xml:space="preserve">- Quản </w:t>
      </w:r>
      <w:proofErr w:type="spellStart"/>
      <w:r w:rsidRPr="00041570">
        <w:rPr>
          <w:rFonts w:ascii="Times New Roman" w:eastAsia="Times New Roman" w:hAnsi="Times New Roman" w:cs="Times New Roman"/>
          <w:sz w:val="28"/>
          <w:szCs w:val="28"/>
        </w:rPr>
        <w:t>lí</w:t>
      </w:r>
      <w:proofErr w:type="spellEnd"/>
      <w:r w:rsidRPr="00041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570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041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570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041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570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041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570">
        <w:rPr>
          <w:rFonts w:ascii="Times New Roman" w:eastAsia="Times New Roman" w:hAnsi="Times New Roman" w:cs="Times New Roman"/>
          <w:sz w:val="28"/>
          <w:szCs w:val="28"/>
        </w:rPr>
        <w:t>mượn</w:t>
      </w:r>
      <w:proofErr w:type="spellEnd"/>
      <w:r w:rsidRPr="000415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41570">
        <w:rPr>
          <w:rFonts w:ascii="Times New Roman" w:eastAsia="Times New Roman" w:hAnsi="Times New Roman" w:cs="Times New Roman"/>
          <w:sz w:val="28"/>
          <w:szCs w:val="28"/>
        </w:rPr>
        <w:t>trả</w:t>
      </w:r>
      <w:proofErr w:type="spellEnd"/>
      <w:r w:rsidRPr="00041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570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0415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570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041570">
        <w:rPr>
          <w:rFonts w:ascii="Times New Roman" w:eastAsia="Times New Roman" w:hAnsi="Times New Roman" w:cs="Times New Roman"/>
          <w:sz w:val="28"/>
          <w:szCs w:val="28"/>
        </w:rPr>
        <w:t>, ĐDDH.</w:t>
      </w:r>
    </w:p>
    <w:p w14:paraId="126BED5B" w14:textId="77777777" w:rsidR="003B1874" w:rsidRPr="00EB5988" w:rsidRDefault="003B1874" w:rsidP="00D61134">
      <w:pPr>
        <w:widowControl w:val="0"/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Phối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giám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sát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xây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dựng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khu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nội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ăn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ở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THCS.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mọi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chăm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sóc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nuôi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dưỡng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7D69FD" w14:textId="77777777" w:rsidR="003B1874" w:rsidRPr="00EB5988" w:rsidRDefault="003B1874" w:rsidP="00D61134">
      <w:pPr>
        <w:widowControl w:val="0"/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988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Phân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lịch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cụ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thể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nội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988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EB598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57F603" w14:textId="77777777" w:rsidR="00FD0570" w:rsidRDefault="00FD0570" w:rsidP="00D61134">
      <w:pPr>
        <w:spacing w:after="0" w:line="360" w:lineRule="exact"/>
        <w:rPr>
          <w:rFonts w:ascii="Times New Roman" w:hAnsi="Times New Roman" w:cs="Times New Roman"/>
          <w:i/>
          <w:sz w:val="28"/>
          <w:szCs w:val="28"/>
        </w:rPr>
      </w:pPr>
    </w:p>
    <w:p w14:paraId="7085A887" w14:textId="77777777" w:rsidR="00B40C93" w:rsidRDefault="00E77154" w:rsidP="00D61134">
      <w:pPr>
        <w:spacing w:after="0" w:line="360" w:lineRule="exac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Phiên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họp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nhà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trường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lần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thứ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2237">
        <w:rPr>
          <w:rFonts w:ascii="Times New Roman" w:hAnsi="Times New Roman" w:cs="Times New Roman"/>
          <w:i/>
          <w:sz w:val="28"/>
          <w:szCs w:val="28"/>
        </w:rPr>
        <w:t>01</w:t>
      </w:r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kết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thúc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vào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hồi</w:t>
      </w:r>
      <w:proofErr w:type="spellEnd"/>
      <w:r w:rsidR="00722237">
        <w:rPr>
          <w:rFonts w:ascii="Times New Roman" w:hAnsi="Times New Roman" w:cs="Times New Roman"/>
          <w:i/>
          <w:sz w:val="28"/>
          <w:szCs w:val="28"/>
        </w:rPr>
        <w:t xml:space="preserve"> 17</w:t>
      </w:r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giờ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2237">
        <w:rPr>
          <w:rFonts w:ascii="Times New Roman" w:hAnsi="Times New Roman" w:cs="Times New Roman"/>
          <w:i/>
          <w:sz w:val="28"/>
          <w:szCs w:val="28"/>
        </w:rPr>
        <w:t>00</w:t>
      </w:r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phút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cùng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i/>
          <w:sz w:val="28"/>
          <w:szCs w:val="28"/>
        </w:rPr>
        <w:t>ngày</w:t>
      </w:r>
      <w:proofErr w:type="spellEnd"/>
      <w:r w:rsidRPr="00E77154">
        <w:rPr>
          <w:rFonts w:ascii="Times New Roman" w:hAnsi="Times New Roman" w:cs="Times New Roman"/>
          <w:i/>
          <w:sz w:val="28"/>
          <w:szCs w:val="28"/>
        </w:rPr>
        <w:t>.</w:t>
      </w:r>
    </w:p>
    <w:p w14:paraId="529F4245" w14:textId="77777777" w:rsidR="00E77154" w:rsidRPr="00E77154" w:rsidRDefault="00E77154" w:rsidP="00D61134">
      <w:pPr>
        <w:spacing w:after="0" w:line="360" w:lineRule="exac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E77154">
        <w:rPr>
          <w:rFonts w:ascii="Times New Roman" w:hAnsi="Times New Roman" w:cs="Times New Roman"/>
          <w:b/>
          <w:i/>
          <w:sz w:val="28"/>
          <w:szCs w:val="28"/>
        </w:rPr>
        <w:t>Chủ</w:t>
      </w:r>
      <w:proofErr w:type="spellEnd"/>
      <w:r w:rsidRPr="00E7715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77154">
        <w:rPr>
          <w:rFonts w:ascii="Times New Roman" w:hAnsi="Times New Roman" w:cs="Times New Roman"/>
          <w:b/>
          <w:i/>
          <w:sz w:val="28"/>
          <w:szCs w:val="28"/>
        </w:rPr>
        <w:t>toạ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Thư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ký</w:t>
      </w:r>
      <w:proofErr w:type="spellEnd"/>
    </w:p>
    <w:p w14:paraId="42BE3B64" w14:textId="77777777" w:rsidR="00E77154" w:rsidRDefault="00E77154" w:rsidP="00D61134">
      <w:pPr>
        <w:spacing w:after="0" w:line="360" w:lineRule="exac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Ký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ghi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rõ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họ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tên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)  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Ký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ghi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rõ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họ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tên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</w:p>
    <w:p w14:paraId="16F93B81" w14:textId="77777777" w:rsidR="001266FD" w:rsidRDefault="001266FD" w:rsidP="00D61134">
      <w:pPr>
        <w:spacing w:after="0" w:line="360" w:lineRule="exact"/>
        <w:rPr>
          <w:rFonts w:ascii="Times New Roman" w:hAnsi="Times New Roman" w:cs="Times New Roman"/>
          <w:i/>
          <w:sz w:val="28"/>
          <w:szCs w:val="28"/>
        </w:rPr>
      </w:pPr>
    </w:p>
    <w:p w14:paraId="726C84F9" w14:textId="77777777" w:rsidR="001266FD" w:rsidRDefault="001266FD" w:rsidP="00D61134">
      <w:pPr>
        <w:spacing w:after="0" w:line="360" w:lineRule="exact"/>
        <w:rPr>
          <w:rFonts w:ascii="Times New Roman" w:hAnsi="Times New Roman" w:cs="Times New Roman"/>
          <w:i/>
          <w:sz w:val="28"/>
          <w:szCs w:val="28"/>
        </w:rPr>
      </w:pPr>
    </w:p>
    <w:p w14:paraId="48363EBD" w14:textId="77777777" w:rsidR="006115D5" w:rsidRDefault="006115D5" w:rsidP="00D61134">
      <w:pPr>
        <w:spacing w:after="0" w:line="360" w:lineRule="exact"/>
        <w:rPr>
          <w:rFonts w:ascii="Times New Roman" w:hAnsi="Times New Roman" w:cs="Times New Roman"/>
          <w:i/>
          <w:sz w:val="28"/>
          <w:szCs w:val="28"/>
        </w:rPr>
      </w:pPr>
    </w:p>
    <w:p w14:paraId="6411C348" w14:textId="77777777" w:rsidR="001266FD" w:rsidRDefault="001266FD" w:rsidP="00D61134">
      <w:pPr>
        <w:spacing w:after="0" w:line="360" w:lineRule="exact"/>
        <w:rPr>
          <w:rFonts w:ascii="Times New Roman" w:hAnsi="Times New Roman" w:cs="Times New Roman"/>
          <w:i/>
          <w:sz w:val="28"/>
          <w:szCs w:val="28"/>
        </w:rPr>
      </w:pPr>
    </w:p>
    <w:p w14:paraId="187D8D35" w14:textId="77777777" w:rsidR="001266FD" w:rsidRPr="001266FD" w:rsidRDefault="001266FD" w:rsidP="00D61134">
      <w:pPr>
        <w:spacing w:after="0" w:line="360" w:lineRule="exact"/>
        <w:rPr>
          <w:rFonts w:ascii="Times New Roman" w:hAnsi="Times New Roman" w:cs="Times New Roman"/>
          <w:b/>
          <w:i/>
          <w:sz w:val="28"/>
          <w:szCs w:val="28"/>
        </w:rPr>
      </w:pPr>
      <w:r w:rsidRPr="001266F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Đinh Thị Hiếu</w:t>
      </w:r>
    </w:p>
    <w:p w14:paraId="239EDAE2" w14:textId="77777777" w:rsidR="00E77154" w:rsidRPr="00E77154" w:rsidRDefault="00E77154" w:rsidP="00D61134">
      <w:pPr>
        <w:spacing w:after="0" w:line="360" w:lineRule="exact"/>
        <w:rPr>
          <w:rFonts w:ascii="Times New Roman" w:hAnsi="Times New Roman" w:cs="Times New Roman"/>
          <w:i/>
          <w:sz w:val="28"/>
          <w:szCs w:val="28"/>
        </w:rPr>
      </w:pPr>
    </w:p>
    <w:sectPr w:rsidR="00E77154" w:rsidRPr="00E77154" w:rsidSect="00B40C93">
      <w:footerReference w:type="default" r:id="rId8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30DDF" w14:textId="77777777" w:rsidR="00D17B8B" w:rsidRDefault="00D17B8B" w:rsidP="00920FAC">
      <w:pPr>
        <w:spacing w:after="0" w:line="240" w:lineRule="auto"/>
      </w:pPr>
      <w:r>
        <w:separator/>
      </w:r>
    </w:p>
  </w:endnote>
  <w:endnote w:type="continuationSeparator" w:id="0">
    <w:p w14:paraId="76647256" w14:textId="77777777" w:rsidR="00D17B8B" w:rsidRDefault="00D17B8B" w:rsidP="0092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B0F5" w14:textId="77777777" w:rsidR="00920FAC" w:rsidRDefault="00920FAC">
    <w:pPr>
      <w:pStyle w:val="Footer"/>
      <w:jc w:val="center"/>
    </w:pPr>
  </w:p>
  <w:p w14:paraId="4AFF9752" w14:textId="77777777" w:rsidR="00920FAC" w:rsidRDefault="00920F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874E5" w14:textId="77777777" w:rsidR="00D17B8B" w:rsidRDefault="00D17B8B" w:rsidP="00920FAC">
      <w:pPr>
        <w:spacing w:after="0" w:line="240" w:lineRule="auto"/>
      </w:pPr>
      <w:r>
        <w:separator/>
      </w:r>
    </w:p>
  </w:footnote>
  <w:footnote w:type="continuationSeparator" w:id="0">
    <w:p w14:paraId="794132EB" w14:textId="77777777" w:rsidR="00D17B8B" w:rsidRDefault="00D17B8B" w:rsidP="00920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D74"/>
    <w:multiLevelType w:val="hybridMultilevel"/>
    <w:tmpl w:val="A9B05676"/>
    <w:lvl w:ilvl="0" w:tplc="0CFA31F4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B212A0"/>
    <w:multiLevelType w:val="hybridMultilevel"/>
    <w:tmpl w:val="A8E4E570"/>
    <w:lvl w:ilvl="0" w:tplc="13DC3CB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C93"/>
    <w:rsid w:val="00026B4D"/>
    <w:rsid w:val="000329FB"/>
    <w:rsid w:val="00041570"/>
    <w:rsid w:val="00050B2B"/>
    <w:rsid w:val="00076F83"/>
    <w:rsid w:val="000B337C"/>
    <w:rsid w:val="000D1EFD"/>
    <w:rsid w:val="000F1F9C"/>
    <w:rsid w:val="00110517"/>
    <w:rsid w:val="00125914"/>
    <w:rsid w:val="001266FD"/>
    <w:rsid w:val="00130974"/>
    <w:rsid w:val="0013783B"/>
    <w:rsid w:val="00155CA4"/>
    <w:rsid w:val="00166B33"/>
    <w:rsid w:val="001B4F65"/>
    <w:rsid w:val="001C6324"/>
    <w:rsid w:val="001D4E39"/>
    <w:rsid w:val="001E6D1F"/>
    <w:rsid w:val="001F0F05"/>
    <w:rsid w:val="00221E8E"/>
    <w:rsid w:val="002375E8"/>
    <w:rsid w:val="00252073"/>
    <w:rsid w:val="00265EAC"/>
    <w:rsid w:val="00294005"/>
    <w:rsid w:val="002A0E3F"/>
    <w:rsid w:val="002C4B9C"/>
    <w:rsid w:val="002F3CE5"/>
    <w:rsid w:val="00303FCE"/>
    <w:rsid w:val="00312DF9"/>
    <w:rsid w:val="00322595"/>
    <w:rsid w:val="003310F8"/>
    <w:rsid w:val="00343D23"/>
    <w:rsid w:val="00345A03"/>
    <w:rsid w:val="0035006E"/>
    <w:rsid w:val="00352549"/>
    <w:rsid w:val="00371682"/>
    <w:rsid w:val="00376207"/>
    <w:rsid w:val="003B1874"/>
    <w:rsid w:val="003C3ADB"/>
    <w:rsid w:val="003F697C"/>
    <w:rsid w:val="00400CED"/>
    <w:rsid w:val="004167CF"/>
    <w:rsid w:val="00426646"/>
    <w:rsid w:val="00433C8B"/>
    <w:rsid w:val="004C5480"/>
    <w:rsid w:val="004D70AF"/>
    <w:rsid w:val="00527118"/>
    <w:rsid w:val="0053083B"/>
    <w:rsid w:val="00571E14"/>
    <w:rsid w:val="00581965"/>
    <w:rsid w:val="00585C96"/>
    <w:rsid w:val="00587A6D"/>
    <w:rsid w:val="005D04F0"/>
    <w:rsid w:val="005E3CE9"/>
    <w:rsid w:val="005E77E5"/>
    <w:rsid w:val="005F5DF9"/>
    <w:rsid w:val="006115D5"/>
    <w:rsid w:val="00625034"/>
    <w:rsid w:val="006605E9"/>
    <w:rsid w:val="00660650"/>
    <w:rsid w:val="006836ED"/>
    <w:rsid w:val="006A761B"/>
    <w:rsid w:val="006C138B"/>
    <w:rsid w:val="006D4FB3"/>
    <w:rsid w:val="00700CC1"/>
    <w:rsid w:val="00701635"/>
    <w:rsid w:val="00702A36"/>
    <w:rsid w:val="007037E1"/>
    <w:rsid w:val="00722237"/>
    <w:rsid w:val="0072398B"/>
    <w:rsid w:val="007A012E"/>
    <w:rsid w:val="007A36BA"/>
    <w:rsid w:val="007D36EB"/>
    <w:rsid w:val="007E163C"/>
    <w:rsid w:val="007E6B80"/>
    <w:rsid w:val="007E7872"/>
    <w:rsid w:val="00840D28"/>
    <w:rsid w:val="00846932"/>
    <w:rsid w:val="008718CE"/>
    <w:rsid w:val="0087277D"/>
    <w:rsid w:val="00873D77"/>
    <w:rsid w:val="00873E1C"/>
    <w:rsid w:val="00873EDA"/>
    <w:rsid w:val="00890FCD"/>
    <w:rsid w:val="00896412"/>
    <w:rsid w:val="008971F6"/>
    <w:rsid w:val="008A0686"/>
    <w:rsid w:val="008C118A"/>
    <w:rsid w:val="008C6A14"/>
    <w:rsid w:val="008D611C"/>
    <w:rsid w:val="008E43E0"/>
    <w:rsid w:val="00920FAC"/>
    <w:rsid w:val="00922363"/>
    <w:rsid w:val="009802FF"/>
    <w:rsid w:val="009B43CB"/>
    <w:rsid w:val="009F4C0D"/>
    <w:rsid w:val="00A0011D"/>
    <w:rsid w:val="00A25B28"/>
    <w:rsid w:val="00A3240E"/>
    <w:rsid w:val="00A43288"/>
    <w:rsid w:val="00A44817"/>
    <w:rsid w:val="00A757E4"/>
    <w:rsid w:val="00AE51D7"/>
    <w:rsid w:val="00AF11D8"/>
    <w:rsid w:val="00B03B04"/>
    <w:rsid w:val="00B06A5D"/>
    <w:rsid w:val="00B31FAF"/>
    <w:rsid w:val="00B40C93"/>
    <w:rsid w:val="00B515A4"/>
    <w:rsid w:val="00B57266"/>
    <w:rsid w:val="00B73EEE"/>
    <w:rsid w:val="00B833F4"/>
    <w:rsid w:val="00BD7983"/>
    <w:rsid w:val="00C06633"/>
    <w:rsid w:val="00C261B1"/>
    <w:rsid w:val="00C927F3"/>
    <w:rsid w:val="00C944A9"/>
    <w:rsid w:val="00C965D9"/>
    <w:rsid w:val="00C9724A"/>
    <w:rsid w:val="00CC492A"/>
    <w:rsid w:val="00D103B9"/>
    <w:rsid w:val="00D17B8B"/>
    <w:rsid w:val="00D17C35"/>
    <w:rsid w:val="00D44A9B"/>
    <w:rsid w:val="00D50030"/>
    <w:rsid w:val="00D527DF"/>
    <w:rsid w:val="00D53D5D"/>
    <w:rsid w:val="00D61134"/>
    <w:rsid w:val="00D950C7"/>
    <w:rsid w:val="00DB169A"/>
    <w:rsid w:val="00DE47DC"/>
    <w:rsid w:val="00DF173C"/>
    <w:rsid w:val="00E46E24"/>
    <w:rsid w:val="00E71E7B"/>
    <w:rsid w:val="00E77154"/>
    <w:rsid w:val="00E816F6"/>
    <w:rsid w:val="00E93B9E"/>
    <w:rsid w:val="00EB5988"/>
    <w:rsid w:val="00EC107D"/>
    <w:rsid w:val="00ED468D"/>
    <w:rsid w:val="00ED7579"/>
    <w:rsid w:val="00F01727"/>
    <w:rsid w:val="00F21E4F"/>
    <w:rsid w:val="00F25E1A"/>
    <w:rsid w:val="00F26A5C"/>
    <w:rsid w:val="00FB4590"/>
    <w:rsid w:val="00FD0570"/>
    <w:rsid w:val="00FD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1A05"/>
  <w15:docId w15:val="{82D69C6B-296D-47E5-9BF0-0E1468F0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C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FAC"/>
  </w:style>
  <w:style w:type="paragraph" w:styleId="Footer">
    <w:name w:val="footer"/>
    <w:basedOn w:val="Normal"/>
    <w:link w:val="FooterChar"/>
    <w:uiPriority w:val="99"/>
    <w:unhideWhenUsed/>
    <w:rsid w:val="00920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FAC"/>
  </w:style>
  <w:style w:type="character" w:customStyle="1" w:styleId="fontstyle01">
    <w:name w:val="fontstyle01"/>
    <w:basedOn w:val="DefaultParagraphFont"/>
    <w:rsid w:val="008A068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8A068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D90A4-32FE-4BEB-A49F-05DE49CF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luna</dc:creator>
  <cp:keywords/>
  <dc:description/>
  <cp:lastModifiedBy>Admin</cp:lastModifiedBy>
  <cp:revision>147</cp:revision>
  <dcterms:created xsi:type="dcterms:W3CDTF">2022-10-26T09:04:00Z</dcterms:created>
  <dcterms:modified xsi:type="dcterms:W3CDTF">2024-04-02T09:07:00Z</dcterms:modified>
</cp:coreProperties>
</file>